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8665F" w14:textId="77777777" w:rsidR="00D75533" w:rsidRDefault="00D75533" w:rsidP="00135395">
      <w:pPr>
        <w:pStyle w:val="a6"/>
        <w:ind w:firstLine="709"/>
        <w:jc w:val="both"/>
        <w:rPr>
          <w:rFonts w:ascii="Times New Roman" w:hAnsi="Times New Roman" w:cs="Times New Roman"/>
          <w:sz w:val="28"/>
          <w:szCs w:val="28"/>
        </w:rPr>
      </w:pPr>
    </w:p>
    <w:p w14:paraId="3E4BF574" w14:textId="77777777" w:rsidR="00D75533" w:rsidRDefault="00D75533" w:rsidP="00135395">
      <w:pPr>
        <w:pStyle w:val="a6"/>
        <w:ind w:firstLine="709"/>
        <w:jc w:val="both"/>
        <w:rPr>
          <w:rFonts w:ascii="Times New Roman" w:hAnsi="Times New Roman" w:cs="Times New Roman"/>
          <w:sz w:val="28"/>
          <w:szCs w:val="28"/>
        </w:rPr>
      </w:pPr>
    </w:p>
    <w:p w14:paraId="371E8144" w14:textId="77777777" w:rsidR="00D75533" w:rsidRDefault="00D75533" w:rsidP="00135395">
      <w:pPr>
        <w:pStyle w:val="a6"/>
        <w:ind w:firstLine="709"/>
        <w:jc w:val="both"/>
        <w:rPr>
          <w:rFonts w:ascii="Times New Roman" w:hAnsi="Times New Roman" w:cs="Times New Roman"/>
          <w:sz w:val="28"/>
          <w:szCs w:val="28"/>
        </w:rPr>
      </w:pPr>
    </w:p>
    <w:p w14:paraId="688E8F48" w14:textId="77777777" w:rsidR="00D75533" w:rsidRDefault="00D75533" w:rsidP="00135395">
      <w:pPr>
        <w:pStyle w:val="a6"/>
        <w:ind w:firstLine="709"/>
        <w:jc w:val="both"/>
        <w:rPr>
          <w:rFonts w:ascii="Times New Roman" w:hAnsi="Times New Roman" w:cs="Times New Roman"/>
          <w:sz w:val="28"/>
          <w:szCs w:val="28"/>
        </w:rPr>
      </w:pPr>
    </w:p>
    <w:p w14:paraId="760020E1" w14:textId="2851E36D" w:rsidR="00CE39D1" w:rsidRPr="00135395" w:rsidRDefault="00CE39D1" w:rsidP="00135395">
      <w:pPr>
        <w:pStyle w:val="a6"/>
        <w:ind w:firstLine="709"/>
        <w:jc w:val="both"/>
        <w:rPr>
          <w:rFonts w:ascii="Times New Roman" w:hAnsi="Times New Roman" w:cs="Times New Roman"/>
          <w:sz w:val="28"/>
          <w:szCs w:val="28"/>
        </w:rPr>
      </w:pPr>
      <w:bookmarkStart w:id="0" w:name="_GoBack"/>
      <w:bookmarkEnd w:id="0"/>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14:paraId="7DFA5EE8" w14:textId="77777777" w:rsidR="00135395" w:rsidRDefault="00135395" w:rsidP="00135395">
      <w:pPr>
        <w:pStyle w:val="a6"/>
        <w:ind w:firstLine="709"/>
        <w:jc w:val="both"/>
        <w:rPr>
          <w:rFonts w:ascii="Times New Roman" w:hAnsi="Times New Roman" w:cs="Times New Roman"/>
          <w:sz w:val="28"/>
          <w:szCs w:val="28"/>
        </w:rPr>
      </w:pPr>
    </w:p>
    <w:p w14:paraId="0917DE33" w14:textId="40D2E3E3"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8F2CB2">
        <w:rPr>
          <w:rFonts w:ascii="Times New Roman" w:hAnsi="Times New Roman" w:cs="Times New Roman"/>
          <w:sz w:val="28"/>
          <w:szCs w:val="28"/>
        </w:rPr>
        <w:t>2</w:t>
      </w:r>
      <w:r w:rsidR="00BA3C63" w:rsidRPr="00BA3C63">
        <w:rPr>
          <w:rFonts w:ascii="Times New Roman" w:hAnsi="Times New Roman" w:cs="Times New Roman"/>
          <w:sz w:val="28"/>
          <w:szCs w:val="28"/>
        </w:rPr>
        <w:t>.</w:t>
      </w:r>
      <w:r w:rsidR="00842F7C">
        <w:rPr>
          <w:rFonts w:ascii="Times New Roman" w:hAnsi="Times New Roman" w:cs="Times New Roman"/>
          <w:sz w:val="28"/>
          <w:szCs w:val="28"/>
        </w:rPr>
        <w:t>0</w:t>
      </w:r>
      <w:r w:rsidR="008F2CB2">
        <w:rPr>
          <w:rFonts w:ascii="Times New Roman" w:hAnsi="Times New Roman" w:cs="Times New Roman"/>
          <w:sz w:val="28"/>
          <w:szCs w:val="28"/>
        </w:rPr>
        <w:t>4</w:t>
      </w:r>
      <w:r w:rsidR="00BA3C63" w:rsidRPr="00BA3C63">
        <w:rPr>
          <w:rFonts w:ascii="Times New Roman" w:hAnsi="Times New Roman" w:cs="Times New Roman"/>
          <w:sz w:val="28"/>
          <w:szCs w:val="28"/>
        </w:rPr>
        <w:t>.202</w:t>
      </w:r>
      <w:r w:rsidR="00842F7C">
        <w:rPr>
          <w:rFonts w:ascii="Times New Roman" w:hAnsi="Times New Roman" w:cs="Times New Roman"/>
          <w:sz w:val="28"/>
          <w:szCs w:val="28"/>
        </w:rPr>
        <w:t>6</w:t>
      </w:r>
      <w:r w:rsidR="00BA3C63" w:rsidRPr="00BA3C63">
        <w:rPr>
          <w:rFonts w:ascii="Times New Roman" w:hAnsi="Times New Roman" w:cs="Times New Roman"/>
          <w:sz w:val="28"/>
          <w:szCs w:val="28"/>
        </w:rPr>
        <w:t xml:space="preserve"> № </w:t>
      </w:r>
      <w:r w:rsidR="008F2CB2">
        <w:rPr>
          <w:rFonts w:ascii="Times New Roman" w:hAnsi="Times New Roman" w:cs="Times New Roman"/>
          <w:sz w:val="28"/>
          <w:szCs w:val="28"/>
        </w:rPr>
        <w:t>4</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AA6E89" w:rsidRPr="00AA6E89">
        <w:rPr>
          <w:rFonts w:ascii="Times New Roman" w:hAnsi="Times New Roman" w:cs="Times New Roman"/>
          <w:sz w:val="28"/>
          <w:szCs w:val="28"/>
        </w:rPr>
        <w:t>района Хамовники</w:t>
      </w:r>
      <w:r w:rsidR="00AF6631">
        <w:rPr>
          <w:rFonts w:ascii="Times New Roman" w:hAnsi="Times New Roman" w:cs="Times New Roman"/>
          <w:sz w:val="28"/>
          <w:szCs w:val="28"/>
        </w:rPr>
        <w:t>,</w:t>
      </w:r>
      <w:r w:rsidR="00CE39D1" w:rsidRPr="00135395">
        <w:rPr>
          <w:rFonts w:ascii="Times New Roman" w:hAnsi="Times New Roman" w:cs="Times New Roman"/>
          <w:sz w:val="28"/>
          <w:szCs w:val="28"/>
        </w:rPr>
        <w:t xml:space="preserve"> признаны незаконно размещёнными и принято коллегиальное решение об их демонтаже в рамках вышеуказанного постановления:</w:t>
      </w:r>
    </w:p>
    <w:p w14:paraId="757D475D" w14:textId="77777777" w:rsidR="00AA6E89" w:rsidRDefault="00AA6E89" w:rsidP="00135395">
      <w:pPr>
        <w:pStyle w:val="a6"/>
        <w:ind w:firstLine="709"/>
        <w:jc w:val="both"/>
        <w:rPr>
          <w:rFonts w:ascii="Times New Roman" w:hAnsi="Times New Roman" w:cs="Times New Roman"/>
          <w:sz w:val="28"/>
          <w:szCs w:val="28"/>
        </w:rPr>
      </w:pPr>
    </w:p>
    <w:p w14:paraId="5B243E09" w14:textId="77777777" w:rsidR="0069149A" w:rsidRDefault="0069149A" w:rsidP="005C5CFC">
      <w:pPr>
        <w:pStyle w:val="a6"/>
        <w:jc w:val="both"/>
        <w:rPr>
          <w:rFonts w:ascii="Times New Roman" w:hAnsi="Times New Roman" w:cs="Times New Roman"/>
          <w:b/>
          <w:i/>
          <w:color w:val="FF0000"/>
          <w:sz w:val="28"/>
          <w:szCs w:val="28"/>
        </w:rPr>
      </w:pPr>
    </w:p>
    <w:tbl>
      <w:tblPr>
        <w:tblStyle w:val="a5"/>
        <w:tblW w:w="0" w:type="auto"/>
        <w:tblLook w:val="04A0" w:firstRow="1" w:lastRow="0" w:firstColumn="1" w:lastColumn="0" w:noHBand="0" w:noVBand="1"/>
      </w:tblPr>
      <w:tblGrid>
        <w:gridCol w:w="6160"/>
        <w:gridCol w:w="3340"/>
      </w:tblGrid>
      <w:tr w:rsidR="00AA6E89" w:rsidRPr="008F2CB2" w14:paraId="29DB91D1" w14:textId="77777777" w:rsidTr="00AA6E89">
        <w:trPr>
          <w:trHeight w:val="645"/>
        </w:trPr>
        <w:tc>
          <w:tcPr>
            <w:tcW w:w="6160" w:type="dxa"/>
          </w:tcPr>
          <w:p w14:paraId="5AF698AF" w14:textId="6B925307"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улица Россолимо, вл. 6/25, стр. 2 (УДС, рядом)</w:t>
            </w:r>
          </w:p>
        </w:tc>
        <w:tc>
          <w:tcPr>
            <w:tcW w:w="3340" w:type="dxa"/>
          </w:tcPr>
          <w:p w14:paraId="414C5EBF" w14:textId="67881EFD"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столбики 17 шт.</w:t>
            </w:r>
          </w:p>
        </w:tc>
      </w:tr>
      <w:tr w:rsidR="00AA6E89" w:rsidRPr="008F2CB2" w14:paraId="624E9370" w14:textId="77777777" w:rsidTr="00AA6E89">
        <w:trPr>
          <w:trHeight w:val="600"/>
        </w:trPr>
        <w:tc>
          <w:tcPr>
            <w:tcW w:w="6160" w:type="dxa"/>
          </w:tcPr>
          <w:p w14:paraId="6775BCE4" w14:textId="6C19BC08"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улица Волхонка, земельный участок 5/6</w:t>
            </w:r>
          </w:p>
        </w:tc>
        <w:tc>
          <w:tcPr>
            <w:tcW w:w="3340" w:type="dxa"/>
          </w:tcPr>
          <w:p w14:paraId="2ADC58FC" w14:textId="324F5CDE"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пристройка</w:t>
            </w:r>
          </w:p>
        </w:tc>
      </w:tr>
      <w:tr w:rsidR="00AA6E89" w:rsidRPr="008F2CB2" w14:paraId="15445957" w14:textId="77777777" w:rsidTr="00AA6E89">
        <w:trPr>
          <w:trHeight w:val="630"/>
        </w:trPr>
        <w:tc>
          <w:tcPr>
            <w:tcW w:w="6160" w:type="dxa"/>
          </w:tcPr>
          <w:p w14:paraId="7B7B0BFF" w14:textId="29AA8219"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 xml:space="preserve">1-й </w:t>
            </w:r>
            <w:proofErr w:type="spellStart"/>
            <w:r w:rsidRPr="008F2CB2">
              <w:rPr>
                <w:rFonts w:ascii="Times New Roman" w:hAnsi="Times New Roman" w:cs="Times New Roman"/>
                <w:sz w:val="28"/>
                <w:szCs w:val="28"/>
              </w:rPr>
              <w:t>Зачатьевский</w:t>
            </w:r>
            <w:proofErr w:type="spellEnd"/>
            <w:r w:rsidRPr="008F2CB2">
              <w:rPr>
                <w:rFonts w:ascii="Times New Roman" w:hAnsi="Times New Roman" w:cs="Times New Roman"/>
                <w:sz w:val="28"/>
                <w:szCs w:val="28"/>
              </w:rPr>
              <w:t xml:space="preserve"> переулок, вл. 6 (рядом)</w:t>
            </w:r>
          </w:p>
        </w:tc>
        <w:tc>
          <w:tcPr>
            <w:tcW w:w="3340" w:type="dxa"/>
          </w:tcPr>
          <w:p w14:paraId="3A882D73" w14:textId="0D4DBD92"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шлагбаум</w:t>
            </w:r>
          </w:p>
        </w:tc>
      </w:tr>
      <w:tr w:rsidR="00AA6E89" w:rsidRPr="008F2CB2" w14:paraId="227FDB2D" w14:textId="77777777" w:rsidTr="00AA6E89">
        <w:trPr>
          <w:trHeight w:val="600"/>
        </w:trPr>
        <w:tc>
          <w:tcPr>
            <w:tcW w:w="6160" w:type="dxa"/>
          </w:tcPr>
          <w:p w14:paraId="7A2419CC" w14:textId="7A6E3E43"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бульвар Гоголевский, вл. 3, (УДС, рядом)</w:t>
            </w:r>
          </w:p>
        </w:tc>
        <w:tc>
          <w:tcPr>
            <w:tcW w:w="3340" w:type="dxa"/>
          </w:tcPr>
          <w:p w14:paraId="55FE93FB" w14:textId="72578154"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ступени 5 шт.</w:t>
            </w:r>
          </w:p>
        </w:tc>
      </w:tr>
      <w:tr w:rsidR="00AA6E89" w:rsidRPr="008F2CB2" w14:paraId="31BF5A03" w14:textId="77777777" w:rsidTr="00AA6E89">
        <w:trPr>
          <w:trHeight w:val="720"/>
        </w:trPr>
        <w:tc>
          <w:tcPr>
            <w:tcW w:w="6160" w:type="dxa"/>
          </w:tcPr>
          <w:p w14:paraId="1E0822C5" w14:textId="2209706C"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бульвар Смоленский, земельный участок 3/5/1Б (рядом)</w:t>
            </w:r>
          </w:p>
        </w:tc>
        <w:tc>
          <w:tcPr>
            <w:tcW w:w="3340" w:type="dxa"/>
          </w:tcPr>
          <w:p w14:paraId="392A95BE" w14:textId="5F2AB147"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металлическая конструкция</w:t>
            </w:r>
          </w:p>
        </w:tc>
      </w:tr>
      <w:tr w:rsidR="00AA6E89" w:rsidRPr="008F2CB2" w14:paraId="4ABE10F6" w14:textId="77777777" w:rsidTr="00AA6E89">
        <w:trPr>
          <w:trHeight w:val="720"/>
        </w:trPr>
        <w:tc>
          <w:tcPr>
            <w:tcW w:w="6160" w:type="dxa"/>
          </w:tcPr>
          <w:p w14:paraId="14ED0394" w14:textId="03DFED07"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бульвар Смоленский, вл. 7 (рядом)</w:t>
            </w:r>
          </w:p>
        </w:tc>
        <w:tc>
          <w:tcPr>
            <w:tcW w:w="3340" w:type="dxa"/>
          </w:tcPr>
          <w:p w14:paraId="63AEFA1D" w14:textId="4094DF2A"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входная группа в подвальное помещение, навес, ограждения</w:t>
            </w:r>
          </w:p>
        </w:tc>
      </w:tr>
      <w:tr w:rsidR="00AA6E89" w:rsidRPr="008F2CB2" w14:paraId="0482F39E" w14:textId="77777777" w:rsidTr="00AA6E89">
        <w:trPr>
          <w:trHeight w:val="720"/>
        </w:trPr>
        <w:tc>
          <w:tcPr>
            <w:tcW w:w="6160" w:type="dxa"/>
          </w:tcPr>
          <w:p w14:paraId="789D92D1" w14:textId="2A421BE3"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переулок Пуговишников, вл. 2 (рядом)</w:t>
            </w:r>
          </w:p>
        </w:tc>
        <w:tc>
          <w:tcPr>
            <w:tcW w:w="3340" w:type="dxa"/>
          </w:tcPr>
          <w:p w14:paraId="501659E1" w14:textId="45348DD6"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столбик</w:t>
            </w:r>
          </w:p>
        </w:tc>
      </w:tr>
      <w:tr w:rsidR="00AA6E89" w:rsidRPr="008F2CB2" w14:paraId="6AB9DFC5" w14:textId="77777777" w:rsidTr="00AA6E89">
        <w:trPr>
          <w:trHeight w:val="720"/>
        </w:trPr>
        <w:tc>
          <w:tcPr>
            <w:tcW w:w="6160" w:type="dxa"/>
          </w:tcPr>
          <w:p w14:paraId="2EC8B6F0" w14:textId="0C321154"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переулок Померанцев, вл. 10-12 (рядом)</w:t>
            </w:r>
          </w:p>
        </w:tc>
        <w:tc>
          <w:tcPr>
            <w:tcW w:w="3340" w:type="dxa"/>
          </w:tcPr>
          <w:p w14:paraId="651ED40D" w14:textId="77CF7B09"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столбики 3 шт.</w:t>
            </w:r>
          </w:p>
        </w:tc>
      </w:tr>
      <w:tr w:rsidR="00AA6E89" w:rsidRPr="008F2CB2" w14:paraId="5AF26793" w14:textId="77777777" w:rsidTr="00AA6E89">
        <w:trPr>
          <w:trHeight w:val="720"/>
        </w:trPr>
        <w:tc>
          <w:tcPr>
            <w:tcW w:w="6160" w:type="dxa"/>
          </w:tcPr>
          <w:p w14:paraId="77CA7BBA" w14:textId="6DAFF8F6"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переулок Большой Знаменский, земельный участок 2/7А</w:t>
            </w:r>
          </w:p>
        </w:tc>
        <w:tc>
          <w:tcPr>
            <w:tcW w:w="3340" w:type="dxa"/>
          </w:tcPr>
          <w:p w14:paraId="2DF995BE" w14:textId="12EED667"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беседка</w:t>
            </w:r>
          </w:p>
        </w:tc>
      </w:tr>
      <w:tr w:rsidR="00AA6E89" w:rsidRPr="008F2CB2" w14:paraId="45B1C5AA" w14:textId="77777777" w:rsidTr="00AA6E89">
        <w:trPr>
          <w:trHeight w:val="720"/>
        </w:trPr>
        <w:tc>
          <w:tcPr>
            <w:tcW w:w="6160" w:type="dxa"/>
          </w:tcPr>
          <w:p w14:paraId="207C4C2B" w14:textId="6FA3E995"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улица Хамовнический Вал, вл. 32 (рядом)</w:t>
            </w:r>
          </w:p>
        </w:tc>
        <w:tc>
          <w:tcPr>
            <w:tcW w:w="3340" w:type="dxa"/>
          </w:tcPr>
          <w:p w14:paraId="5B82D853" w14:textId="7E44F3DC"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навесы 2 шт., навесы со ступенями 2 шт.</w:t>
            </w:r>
          </w:p>
        </w:tc>
      </w:tr>
      <w:tr w:rsidR="00AA6E89" w:rsidRPr="008F2CB2" w14:paraId="0029CF80" w14:textId="77777777" w:rsidTr="00AA6E89">
        <w:trPr>
          <w:trHeight w:val="720"/>
        </w:trPr>
        <w:tc>
          <w:tcPr>
            <w:tcW w:w="6160" w:type="dxa"/>
          </w:tcPr>
          <w:p w14:paraId="4FF8D89C" w14:textId="364C2D24"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улица Тимура Фрунзе, вл. 11, стр. 7</w:t>
            </w:r>
          </w:p>
        </w:tc>
        <w:tc>
          <w:tcPr>
            <w:tcW w:w="3340" w:type="dxa"/>
          </w:tcPr>
          <w:p w14:paraId="189AA7F3" w14:textId="236C9F69" w:rsidR="00AA6E89" w:rsidRPr="008F2CB2" w:rsidRDefault="00AA6E89" w:rsidP="008F2CB2">
            <w:pPr>
              <w:pStyle w:val="a6"/>
              <w:jc w:val="both"/>
              <w:rPr>
                <w:rFonts w:ascii="Times New Roman" w:hAnsi="Times New Roman" w:cs="Times New Roman"/>
                <w:sz w:val="28"/>
                <w:szCs w:val="28"/>
              </w:rPr>
            </w:pPr>
            <w:r w:rsidRPr="008F2CB2">
              <w:rPr>
                <w:rFonts w:ascii="Times New Roman" w:hAnsi="Times New Roman" w:cs="Times New Roman"/>
                <w:sz w:val="28"/>
                <w:szCs w:val="28"/>
              </w:rPr>
              <w:t>хозблок</w:t>
            </w:r>
          </w:p>
        </w:tc>
      </w:tr>
    </w:tbl>
    <w:p w14:paraId="5B682A1A" w14:textId="77777777" w:rsidR="00D72085" w:rsidRDefault="00D72085" w:rsidP="00D72085">
      <w:pPr>
        <w:pStyle w:val="a6"/>
        <w:jc w:val="both"/>
        <w:rPr>
          <w:rFonts w:ascii="Times New Roman" w:hAnsi="Times New Roman" w:cs="Times New Roman"/>
          <w:sz w:val="28"/>
          <w:szCs w:val="28"/>
        </w:rPr>
      </w:pPr>
    </w:p>
    <w:p w14:paraId="29402D74" w14:textId="77777777" w:rsidR="00AA6E89" w:rsidRDefault="00AA6E89" w:rsidP="00D72085">
      <w:pPr>
        <w:pStyle w:val="a6"/>
        <w:ind w:firstLine="709"/>
        <w:jc w:val="both"/>
        <w:rPr>
          <w:rFonts w:ascii="Times New Roman" w:hAnsi="Times New Roman" w:cs="Times New Roman"/>
          <w:sz w:val="28"/>
          <w:szCs w:val="28"/>
        </w:rPr>
      </w:pPr>
    </w:p>
    <w:p w14:paraId="48DCDABE" w14:textId="77777777" w:rsidR="00AA6E89" w:rsidRDefault="00AA6E89" w:rsidP="00D72085">
      <w:pPr>
        <w:pStyle w:val="a6"/>
        <w:ind w:firstLine="709"/>
        <w:jc w:val="both"/>
        <w:rPr>
          <w:rFonts w:ascii="Times New Roman" w:hAnsi="Times New Roman" w:cs="Times New Roman"/>
          <w:sz w:val="28"/>
          <w:szCs w:val="28"/>
        </w:rPr>
      </w:pPr>
    </w:p>
    <w:p w14:paraId="462405A1" w14:textId="1E1C9069" w:rsidR="00FD679A" w:rsidRDefault="004B6F70" w:rsidP="00D72085">
      <w:pPr>
        <w:pStyle w:val="a6"/>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14:paraId="6EF8D7B0" w14:textId="77777777"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14:paraId="5B7771D9" w14:textId="77777777"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14:paraId="105775DD" w14:textId="77777777"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14:paraId="06516592" w14:textId="77777777"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14:paraId="7BB2540C" w14:textId="77777777"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C712B"/>
    <w:rsid w:val="000D27E7"/>
    <w:rsid w:val="000E6A6B"/>
    <w:rsid w:val="00135395"/>
    <w:rsid w:val="00214797"/>
    <w:rsid w:val="00225ECC"/>
    <w:rsid w:val="00257208"/>
    <w:rsid w:val="0027018A"/>
    <w:rsid w:val="00271B52"/>
    <w:rsid w:val="002902CA"/>
    <w:rsid w:val="002D0084"/>
    <w:rsid w:val="00307284"/>
    <w:rsid w:val="00333262"/>
    <w:rsid w:val="00344406"/>
    <w:rsid w:val="00392B42"/>
    <w:rsid w:val="003942FA"/>
    <w:rsid w:val="003D70E5"/>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456B"/>
    <w:rsid w:val="00566A41"/>
    <w:rsid w:val="005C044A"/>
    <w:rsid w:val="005C5CFC"/>
    <w:rsid w:val="005E6246"/>
    <w:rsid w:val="006115B5"/>
    <w:rsid w:val="0066679D"/>
    <w:rsid w:val="0068047A"/>
    <w:rsid w:val="00686113"/>
    <w:rsid w:val="0069149A"/>
    <w:rsid w:val="006B070C"/>
    <w:rsid w:val="006C3B70"/>
    <w:rsid w:val="006F1D38"/>
    <w:rsid w:val="006F5352"/>
    <w:rsid w:val="007018DF"/>
    <w:rsid w:val="00702298"/>
    <w:rsid w:val="00711E43"/>
    <w:rsid w:val="0071380F"/>
    <w:rsid w:val="00714EBF"/>
    <w:rsid w:val="00780F4E"/>
    <w:rsid w:val="00792694"/>
    <w:rsid w:val="00793D43"/>
    <w:rsid w:val="007A746C"/>
    <w:rsid w:val="007B4307"/>
    <w:rsid w:val="007B5ADC"/>
    <w:rsid w:val="007C468E"/>
    <w:rsid w:val="007E21CA"/>
    <w:rsid w:val="007E626B"/>
    <w:rsid w:val="007F1DD3"/>
    <w:rsid w:val="00801221"/>
    <w:rsid w:val="00842F7C"/>
    <w:rsid w:val="0084779D"/>
    <w:rsid w:val="00870C3E"/>
    <w:rsid w:val="00874053"/>
    <w:rsid w:val="00877E8B"/>
    <w:rsid w:val="008C7C1A"/>
    <w:rsid w:val="008F2CB2"/>
    <w:rsid w:val="0091539C"/>
    <w:rsid w:val="0091730E"/>
    <w:rsid w:val="009C0ED4"/>
    <w:rsid w:val="009F2443"/>
    <w:rsid w:val="00A16DE4"/>
    <w:rsid w:val="00A22A9D"/>
    <w:rsid w:val="00A310B7"/>
    <w:rsid w:val="00A45B2F"/>
    <w:rsid w:val="00A77D25"/>
    <w:rsid w:val="00A9260C"/>
    <w:rsid w:val="00AA6E89"/>
    <w:rsid w:val="00AC496F"/>
    <w:rsid w:val="00AD0665"/>
    <w:rsid w:val="00AE7ACA"/>
    <w:rsid w:val="00AF1CB2"/>
    <w:rsid w:val="00AF1DA7"/>
    <w:rsid w:val="00AF6631"/>
    <w:rsid w:val="00B118B4"/>
    <w:rsid w:val="00B1262D"/>
    <w:rsid w:val="00B13957"/>
    <w:rsid w:val="00B42329"/>
    <w:rsid w:val="00B60F54"/>
    <w:rsid w:val="00B6443C"/>
    <w:rsid w:val="00BA3C63"/>
    <w:rsid w:val="00BB3F20"/>
    <w:rsid w:val="00BD6F99"/>
    <w:rsid w:val="00BE6983"/>
    <w:rsid w:val="00C33A5F"/>
    <w:rsid w:val="00C733ED"/>
    <w:rsid w:val="00C81EBE"/>
    <w:rsid w:val="00C84A55"/>
    <w:rsid w:val="00CE39D1"/>
    <w:rsid w:val="00CE762F"/>
    <w:rsid w:val="00D62EB3"/>
    <w:rsid w:val="00D65513"/>
    <w:rsid w:val="00D72085"/>
    <w:rsid w:val="00D730E1"/>
    <w:rsid w:val="00D74802"/>
    <w:rsid w:val="00D75533"/>
    <w:rsid w:val="00DA27C7"/>
    <w:rsid w:val="00DA5B30"/>
    <w:rsid w:val="00DB57F5"/>
    <w:rsid w:val="00E02A6A"/>
    <w:rsid w:val="00E11BCC"/>
    <w:rsid w:val="00E14C06"/>
    <w:rsid w:val="00E27E2C"/>
    <w:rsid w:val="00E37BAC"/>
    <w:rsid w:val="00E53B2C"/>
    <w:rsid w:val="00E57398"/>
    <w:rsid w:val="00E94D6A"/>
    <w:rsid w:val="00ED2339"/>
    <w:rsid w:val="00EE0F61"/>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D44E"/>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554">
      <w:bodyDiv w:val="1"/>
      <w:marLeft w:val="0"/>
      <w:marRight w:val="0"/>
      <w:marTop w:val="0"/>
      <w:marBottom w:val="0"/>
      <w:divBdr>
        <w:top w:val="none" w:sz="0" w:space="0" w:color="auto"/>
        <w:left w:val="none" w:sz="0" w:space="0" w:color="auto"/>
        <w:bottom w:val="none" w:sz="0" w:space="0" w:color="auto"/>
        <w:right w:val="none" w:sz="0" w:space="0" w:color="auto"/>
      </w:divBdr>
    </w:div>
    <w:div w:id="60756452">
      <w:bodyDiv w:val="1"/>
      <w:marLeft w:val="0"/>
      <w:marRight w:val="0"/>
      <w:marTop w:val="0"/>
      <w:marBottom w:val="0"/>
      <w:divBdr>
        <w:top w:val="none" w:sz="0" w:space="0" w:color="auto"/>
        <w:left w:val="none" w:sz="0" w:space="0" w:color="auto"/>
        <w:bottom w:val="none" w:sz="0" w:space="0" w:color="auto"/>
        <w:right w:val="none" w:sz="0" w:space="0" w:color="auto"/>
      </w:divBdr>
    </w:div>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121971571">
      <w:bodyDiv w:val="1"/>
      <w:marLeft w:val="0"/>
      <w:marRight w:val="0"/>
      <w:marTop w:val="0"/>
      <w:marBottom w:val="0"/>
      <w:divBdr>
        <w:top w:val="none" w:sz="0" w:space="0" w:color="auto"/>
        <w:left w:val="none" w:sz="0" w:space="0" w:color="auto"/>
        <w:bottom w:val="none" w:sz="0" w:space="0" w:color="auto"/>
        <w:right w:val="none" w:sz="0" w:space="0" w:color="auto"/>
      </w:divBdr>
    </w:div>
    <w:div w:id="265890293">
      <w:bodyDiv w:val="1"/>
      <w:marLeft w:val="0"/>
      <w:marRight w:val="0"/>
      <w:marTop w:val="0"/>
      <w:marBottom w:val="0"/>
      <w:divBdr>
        <w:top w:val="none" w:sz="0" w:space="0" w:color="auto"/>
        <w:left w:val="none" w:sz="0" w:space="0" w:color="auto"/>
        <w:bottom w:val="none" w:sz="0" w:space="0" w:color="auto"/>
        <w:right w:val="none" w:sz="0" w:space="0" w:color="auto"/>
      </w:divBdr>
    </w:div>
    <w:div w:id="410736657">
      <w:bodyDiv w:val="1"/>
      <w:marLeft w:val="0"/>
      <w:marRight w:val="0"/>
      <w:marTop w:val="0"/>
      <w:marBottom w:val="0"/>
      <w:divBdr>
        <w:top w:val="none" w:sz="0" w:space="0" w:color="auto"/>
        <w:left w:val="none" w:sz="0" w:space="0" w:color="auto"/>
        <w:bottom w:val="none" w:sz="0" w:space="0" w:color="auto"/>
        <w:right w:val="none" w:sz="0" w:space="0" w:color="auto"/>
      </w:divBdr>
    </w:div>
    <w:div w:id="512034161">
      <w:bodyDiv w:val="1"/>
      <w:marLeft w:val="0"/>
      <w:marRight w:val="0"/>
      <w:marTop w:val="0"/>
      <w:marBottom w:val="0"/>
      <w:divBdr>
        <w:top w:val="none" w:sz="0" w:space="0" w:color="auto"/>
        <w:left w:val="none" w:sz="0" w:space="0" w:color="auto"/>
        <w:bottom w:val="none" w:sz="0" w:space="0" w:color="auto"/>
        <w:right w:val="none" w:sz="0" w:space="0" w:color="auto"/>
      </w:divBdr>
    </w:div>
    <w:div w:id="568930477">
      <w:bodyDiv w:val="1"/>
      <w:marLeft w:val="0"/>
      <w:marRight w:val="0"/>
      <w:marTop w:val="0"/>
      <w:marBottom w:val="0"/>
      <w:divBdr>
        <w:top w:val="none" w:sz="0" w:space="0" w:color="auto"/>
        <w:left w:val="none" w:sz="0" w:space="0" w:color="auto"/>
        <w:bottom w:val="none" w:sz="0" w:space="0" w:color="auto"/>
        <w:right w:val="none" w:sz="0" w:space="0" w:color="auto"/>
      </w:divBdr>
    </w:div>
    <w:div w:id="739137790">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764806527">
      <w:bodyDiv w:val="1"/>
      <w:marLeft w:val="0"/>
      <w:marRight w:val="0"/>
      <w:marTop w:val="0"/>
      <w:marBottom w:val="0"/>
      <w:divBdr>
        <w:top w:val="none" w:sz="0" w:space="0" w:color="auto"/>
        <w:left w:val="none" w:sz="0" w:space="0" w:color="auto"/>
        <w:bottom w:val="none" w:sz="0" w:space="0" w:color="auto"/>
        <w:right w:val="none" w:sz="0" w:space="0" w:color="auto"/>
      </w:divBdr>
    </w:div>
    <w:div w:id="946623271">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440684335">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44398636">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33608037">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07010933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490</Words>
  <Characters>2799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Белобоков Максим Алексеевич</cp:lastModifiedBy>
  <cp:revision>4</cp:revision>
  <cp:lastPrinted>2024-02-22T07:06:00Z</cp:lastPrinted>
  <dcterms:created xsi:type="dcterms:W3CDTF">2026-04-23T07:33:00Z</dcterms:created>
  <dcterms:modified xsi:type="dcterms:W3CDTF">2026-04-23T08:29:00Z</dcterms:modified>
</cp:coreProperties>
</file>